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80" w:rsidRDefault="00DB7480" w:rsidP="00DB7480">
      <w:pPr>
        <w:pStyle w:val="a5"/>
        <w:shd w:val="clear" w:color="auto" w:fill="FFFFFF"/>
        <w:spacing w:before="0" w:beforeAutospacing="0" w:after="225" w:afterAutospacing="0"/>
        <w:jc w:val="center"/>
        <w:rPr>
          <w:rFonts w:ascii="微软雅黑" w:eastAsia="微软雅黑" w:hAnsi="微软雅黑"/>
          <w:color w:val="333333"/>
        </w:rPr>
      </w:pPr>
      <w:r>
        <w:rPr>
          <w:rFonts w:ascii="微软雅黑" w:eastAsia="微软雅黑" w:hAnsi="微软雅黑" w:hint="eastAsia"/>
          <w:color w:val="333333"/>
        </w:rPr>
        <w:t>中国专利奖评奖办法</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第一条 评奖宗旨</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第二条 评奖周期</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国家知识产权局与世界知识产权组织共同开展中国专利奖评选工作，每年举办一届。</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第三条 奖项设置</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中国专利奖设中国专利金奖、中国专利银奖、中国专利优秀奖、中国外观设计金奖、中国外观设计银奖、中国外观设计优秀奖。</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第四条 评审组织</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第五条 评价指标及权重</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一、发明、实用新型专利</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（一）专利质量（25%）。评价：1.新颖性、创造性、实用性；2.文本质量。</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（二）技术先进性（25%）。评价：1.原创性及重要性；2.相比当前同类技术的优缺点；3.专利技术的通用性。</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（三）运用及保护措施和成效（35%）。评价：1.专利运用及保护措施；2.经济效益及市场份额。</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（四）社会效益及发展前景（15%）。评价：1.社会效益；2.行业影响力；3.政策适应性。</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二、外观设计专利</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（一）专利质量（25%）。评价：1.创新性和工业适用性；2.文本质量。</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（二）设计要点及理念的表达（25%）。评价：1.设计要点独特性；2.艺术性及象征性；3.功能性。</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（三）运用及保护措施和成效（35%）。评价：1.专利运用及保护措施；2.经济效益及市场份额。</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（四）社会效益及发展前景（15%）。评价：1.社会效益；2.发展前景。</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第六条 推荐及评审程序</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二、评审办公室负责对推荐项目进行初审，并组织开展有关初评工作。</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三、评审办公室根据初评情况，提出预获奖项目名单，报评审委员会。</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四、评审委员会对预获奖项目名单进行审定，确定获奖项目及其奖励等级。</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五、评审办公室在国家知识产权局政府网站公示评选结果。</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第七条 异议处理</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一、中国专利奖评选工作接受社会监督，社会公众对公示项目有异议的，可在规定时间内向评审办公室提出。</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三、参与异议处理的有关人员对异议者的身份及有关异议信息予以保密。</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第八条 授 奖</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国家知识产权局及世界知识产权组织根据评选结果公示情况，对无异议或异议不成立的项目予以授奖，联合向获得金奖项目的发明人（设计人）颁发奖牌和</w:t>
      </w:r>
      <w:r>
        <w:rPr>
          <w:rFonts w:ascii="微软雅黑" w:eastAsia="微软雅黑" w:hAnsi="微软雅黑" w:hint="eastAsia"/>
          <w:color w:val="333333"/>
        </w:rPr>
        <w:lastRenderedPageBreak/>
        <w:t>证书，向专利权人颁发奖牌；国家知识产权局向获得银奖、优秀奖项目的发明人（设计人）颁发证书，向专利权人颁发奖牌。</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国家知识产权局会同世界知识产权组织召开会议，共同表彰有关获奖的发明人（设计人）及专利权人。</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国家知识产权局通过电视、网络、报刊等媒体公布获奖结果；对于获奖的项目，专利权人可以在其产品上标注奖项名称及获奖时间。</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第九条 撤 奖</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对于获奖项目，若发现报送材料不实，且有证据证明不符合获奖条件的，由评审办公室提出撤销授奖的意见，经评审委员会批准，撤销授奖并追回奖牌和证书。</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第十条 本办法由中国专利奖评审办公室负责解释。</w:t>
      </w:r>
    </w:p>
    <w:p w:rsidR="00DB7480" w:rsidRDefault="00DB7480" w:rsidP="00DB7480">
      <w:pPr>
        <w:pStyle w:val="a5"/>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第十一条 本办法自公布之日起执行。</w:t>
      </w:r>
    </w:p>
    <w:p w:rsidR="004D790D" w:rsidRPr="00DB7480" w:rsidRDefault="004D790D">
      <w:bookmarkStart w:id="0" w:name="_GoBack"/>
      <w:bookmarkEnd w:id="0"/>
    </w:p>
    <w:sectPr w:rsidR="004D790D" w:rsidRPr="00DB7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80" w:rsidRDefault="00DB7480" w:rsidP="00DB7480">
      <w:r>
        <w:separator/>
      </w:r>
    </w:p>
  </w:endnote>
  <w:endnote w:type="continuationSeparator" w:id="0">
    <w:p w:rsidR="00DB7480" w:rsidRDefault="00DB7480" w:rsidP="00DB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80" w:rsidRDefault="00DB7480" w:rsidP="00DB7480">
      <w:r>
        <w:separator/>
      </w:r>
    </w:p>
  </w:footnote>
  <w:footnote w:type="continuationSeparator" w:id="0">
    <w:p w:rsidR="00DB7480" w:rsidRDefault="00DB7480" w:rsidP="00DB7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B5"/>
    <w:rsid w:val="004D790D"/>
    <w:rsid w:val="00790D3A"/>
    <w:rsid w:val="007B33B5"/>
    <w:rsid w:val="00DB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480"/>
    <w:rPr>
      <w:sz w:val="18"/>
      <w:szCs w:val="18"/>
    </w:rPr>
  </w:style>
  <w:style w:type="paragraph" w:styleId="a4">
    <w:name w:val="footer"/>
    <w:basedOn w:val="a"/>
    <w:link w:val="Char0"/>
    <w:uiPriority w:val="99"/>
    <w:unhideWhenUsed/>
    <w:rsid w:val="00DB7480"/>
    <w:pPr>
      <w:tabs>
        <w:tab w:val="center" w:pos="4153"/>
        <w:tab w:val="right" w:pos="8306"/>
      </w:tabs>
      <w:snapToGrid w:val="0"/>
      <w:jc w:val="left"/>
    </w:pPr>
    <w:rPr>
      <w:sz w:val="18"/>
      <w:szCs w:val="18"/>
    </w:rPr>
  </w:style>
  <w:style w:type="character" w:customStyle="1" w:styleId="Char0">
    <w:name w:val="页脚 Char"/>
    <w:basedOn w:val="a0"/>
    <w:link w:val="a4"/>
    <w:uiPriority w:val="99"/>
    <w:rsid w:val="00DB7480"/>
    <w:rPr>
      <w:sz w:val="18"/>
      <w:szCs w:val="18"/>
    </w:rPr>
  </w:style>
  <w:style w:type="paragraph" w:styleId="a5">
    <w:name w:val="Normal (Web)"/>
    <w:basedOn w:val="a"/>
    <w:uiPriority w:val="99"/>
    <w:semiHidden/>
    <w:unhideWhenUsed/>
    <w:rsid w:val="00DB74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480"/>
    <w:rPr>
      <w:sz w:val="18"/>
      <w:szCs w:val="18"/>
    </w:rPr>
  </w:style>
  <w:style w:type="paragraph" w:styleId="a4">
    <w:name w:val="footer"/>
    <w:basedOn w:val="a"/>
    <w:link w:val="Char0"/>
    <w:uiPriority w:val="99"/>
    <w:unhideWhenUsed/>
    <w:rsid w:val="00DB7480"/>
    <w:pPr>
      <w:tabs>
        <w:tab w:val="center" w:pos="4153"/>
        <w:tab w:val="right" w:pos="8306"/>
      </w:tabs>
      <w:snapToGrid w:val="0"/>
      <w:jc w:val="left"/>
    </w:pPr>
    <w:rPr>
      <w:sz w:val="18"/>
      <w:szCs w:val="18"/>
    </w:rPr>
  </w:style>
  <w:style w:type="character" w:customStyle="1" w:styleId="Char0">
    <w:name w:val="页脚 Char"/>
    <w:basedOn w:val="a0"/>
    <w:link w:val="a4"/>
    <w:uiPriority w:val="99"/>
    <w:rsid w:val="00DB7480"/>
    <w:rPr>
      <w:sz w:val="18"/>
      <w:szCs w:val="18"/>
    </w:rPr>
  </w:style>
  <w:style w:type="paragraph" w:styleId="a5">
    <w:name w:val="Normal (Web)"/>
    <w:basedOn w:val="a"/>
    <w:uiPriority w:val="99"/>
    <w:semiHidden/>
    <w:unhideWhenUsed/>
    <w:rsid w:val="00DB74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dc:creator>
  <cp:keywords/>
  <dc:description/>
  <cp:lastModifiedBy>liyan</cp:lastModifiedBy>
  <cp:revision>2</cp:revision>
  <dcterms:created xsi:type="dcterms:W3CDTF">2021-09-13T07:25:00Z</dcterms:created>
  <dcterms:modified xsi:type="dcterms:W3CDTF">2021-09-13T07:25:00Z</dcterms:modified>
</cp:coreProperties>
</file>